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85AAF" w14:textId="77777777" w:rsidR="002853F1" w:rsidRDefault="001325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PIKC „Liepājas Valsts tehnikums”</w:t>
      </w:r>
    </w:p>
    <w:p w14:paraId="475BB7DA" w14:textId="77777777" w:rsidR="00687DE4" w:rsidRPr="0002148C" w:rsidRDefault="00687DE4" w:rsidP="00687D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148C">
        <w:rPr>
          <w:rFonts w:ascii="Times New Roman" w:hAnsi="Times New Roman"/>
          <w:sz w:val="28"/>
          <w:szCs w:val="28"/>
        </w:rPr>
        <w:t xml:space="preserve">Modulārās izglītības programmas </w:t>
      </w:r>
      <w:r w:rsidRPr="0002148C">
        <w:rPr>
          <w:rFonts w:ascii="Times New Roman" w:hAnsi="Times New Roman"/>
          <w:b/>
          <w:sz w:val="28"/>
          <w:szCs w:val="28"/>
        </w:rPr>
        <w:t>„</w:t>
      </w:r>
      <w:r w:rsidR="00F80B0A">
        <w:rPr>
          <w:rFonts w:ascii="Times New Roman" w:hAnsi="Times New Roman"/>
          <w:b/>
          <w:sz w:val="28"/>
          <w:szCs w:val="28"/>
        </w:rPr>
        <w:t>Komercdarbinieks</w:t>
      </w:r>
      <w:r w:rsidRPr="0002148C">
        <w:rPr>
          <w:rFonts w:ascii="Times New Roman" w:hAnsi="Times New Roman"/>
          <w:b/>
          <w:sz w:val="28"/>
          <w:szCs w:val="28"/>
        </w:rPr>
        <w:t>”</w:t>
      </w:r>
      <w:r w:rsidR="00655C49">
        <w:rPr>
          <w:rFonts w:ascii="Times New Roman" w:hAnsi="Times New Roman"/>
          <w:b/>
          <w:sz w:val="28"/>
          <w:szCs w:val="28"/>
        </w:rPr>
        <w:t>, “Mazumtirdzniecīb</w:t>
      </w:r>
      <w:r w:rsidR="00F80B0A">
        <w:rPr>
          <w:rFonts w:ascii="Times New Roman" w:hAnsi="Times New Roman"/>
          <w:b/>
          <w:sz w:val="28"/>
          <w:szCs w:val="28"/>
        </w:rPr>
        <w:t>as komercdarbinieks” un “R</w:t>
      </w:r>
      <w:r w:rsidR="00655C49">
        <w:rPr>
          <w:rFonts w:ascii="Times New Roman" w:hAnsi="Times New Roman"/>
          <w:b/>
          <w:sz w:val="28"/>
          <w:szCs w:val="28"/>
        </w:rPr>
        <w:t>eklāmas</w:t>
      </w:r>
      <w:r w:rsidR="00F80B0A">
        <w:rPr>
          <w:rFonts w:ascii="Times New Roman" w:hAnsi="Times New Roman"/>
          <w:b/>
          <w:sz w:val="28"/>
          <w:szCs w:val="28"/>
        </w:rPr>
        <w:t xml:space="preserve"> pakalpojumu komercdarbinieks”</w:t>
      </w:r>
      <w:r w:rsidRPr="0002148C">
        <w:rPr>
          <w:rFonts w:ascii="Times New Roman" w:hAnsi="Times New Roman"/>
          <w:sz w:val="28"/>
          <w:szCs w:val="28"/>
        </w:rPr>
        <w:t xml:space="preserve"> paplašinātā metodiskā sanāksme</w:t>
      </w:r>
    </w:p>
    <w:p w14:paraId="24A8FC97" w14:textId="77777777" w:rsidR="00B4581D" w:rsidRDefault="00B4581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EEF0E5" w14:textId="77777777" w:rsidR="002853F1" w:rsidRDefault="0013253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Protokols Nr</w:t>
      </w:r>
      <w:r w:rsidRPr="00A34308">
        <w:rPr>
          <w:rFonts w:ascii="Times New Roman" w:hAnsi="Times New Roman"/>
          <w:sz w:val="24"/>
          <w:szCs w:val="24"/>
        </w:rPr>
        <w:t xml:space="preserve">. </w:t>
      </w:r>
      <w:r w:rsidR="00A34308" w:rsidRPr="00A34308">
        <w:rPr>
          <w:rFonts w:ascii="Times New Roman" w:hAnsi="Times New Roman"/>
          <w:sz w:val="24"/>
          <w:szCs w:val="24"/>
        </w:rPr>
        <w:t>1</w:t>
      </w:r>
    </w:p>
    <w:p w14:paraId="469C31F8" w14:textId="77777777" w:rsidR="002853F1" w:rsidRDefault="00687DE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196EB0">
        <w:rPr>
          <w:rFonts w:ascii="Times New Roman" w:hAnsi="Times New Roman"/>
          <w:sz w:val="24"/>
          <w:szCs w:val="24"/>
        </w:rPr>
        <w:t xml:space="preserve">. gada </w:t>
      </w:r>
      <w:r w:rsidR="00F80B0A">
        <w:rPr>
          <w:rFonts w:ascii="Times New Roman" w:hAnsi="Times New Roman"/>
          <w:sz w:val="24"/>
          <w:szCs w:val="24"/>
        </w:rPr>
        <w:t>5.marts</w:t>
      </w:r>
    </w:p>
    <w:p w14:paraId="7135DA73" w14:textId="77777777" w:rsidR="002853F1" w:rsidRDefault="00165C33">
      <w:pPr>
        <w:spacing w:line="240" w:lineRule="auto"/>
        <w:jc w:val="right"/>
      </w:pPr>
      <w:r>
        <w:rPr>
          <w:rFonts w:ascii="Times New Roman" w:hAnsi="Times New Roman"/>
          <w:sz w:val="24"/>
          <w:szCs w:val="24"/>
        </w:rPr>
        <w:t>Sanāksme sākas: plkst. 11</w:t>
      </w:r>
      <w:r w:rsidR="00132533">
        <w:rPr>
          <w:rFonts w:ascii="Times New Roman" w:hAnsi="Times New Roman"/>
          <w:sz w:val="24"/>
          <w:szCs w:val="24"/>
        </w:rPr>
        <w:t>:00</w:t>
      </w:r>
    </w:p>
    <w:p w14:paraId="3A0A5913" w14:textId="77777777" w:rsidR="002853F1" w:rsidRDefault="00F80B0A">
      <w:pPr>
        <w:pStyle w:val="NormalWeb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05.03</w:t>
      </w:r>
      <w:r w:rsidR="00687DE4">
        <w:rPr>
          <w:color w:val="000000"/>
        </w:rPr>
        <w:t>.2018.</w:t>
      </w:r>
    </w:p>
    <w:p w14:paraId="3A080BF0" w14:textId="77777777" w:rsidR="002853F1" w:rsidRPr="00B0667A" w:rsidRDefault="00132533">
      <w:pPr>
        <w:spacing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Sanāksme notiek:</w:t>
      </w:r>
      <w:r>
        <w:rPr>
          <w:rFonts w:ascii="Times New Roman" w:hAnsi="Times New Roman"/>
          <w:sz w:val="24"/>
          <w:szCs w:val="24"/>
        </w:rPr>
        <w:t xml:space="preserve"> PIKC „Liepājas Valsts tehnikums,” Ventspils ielā 51, </w:t>
      </w:r>
      <w:r w:rsidR="0003209E">
        <w:rPr>
          <w:rFonts w:ascii="Times New Roman" w:hAnsi="Times New Roman"/>
          <w:sz w:val="24"/>
          <w:szCs w:val="24"/>
        </w:rPr>
        <w:t>A-2</w:t>
      </w:r>
      <w:r w:rsidR="00040FC4">
        <w:rPr>
          <w:rFonts w:ascii="Times New Roman" w:hAnsi="Times New Roman"/>
          <w:sz w:val="24"/>
          <w:szCs w:val="24"/>
        </w:rPr>
        <w:t>07</w:t>
      </w:r>
      <w:r w:rsidR="00761E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auditorija</w:t>
      </w:r>
    </w:p>
    <w:p w14:paraId="61BECE74" w14:textId="77777777" w:rsidR="002853F1" w:rsidRDefault="00132533">
      <w:pPr>
        <w:spacing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Sanāksmi vada:</w:t>
      </w:r>
      <w:r>
        <w:rPr>
          <w:rFonts w:ascii="Times New Roman" w:hAnsi="Times New Roman"/>
          <w:sz w:val="24"/>
          <w:szCs w:val="24"/>
        </w:rPr>
        <w:t xml:space="preserve"> PIKC „Liepājas Valsts tehnikums” </w:t>
      </w:r>
      <w:r w:rsidR="0012562E">
        <w:rPr>
          <w:rFonts w:ascii="Times New Roman" w:hAnsi="Times New Roman"/>
          <w:sz w:val="24"/>
          <w:szCs w:val="24"/>
        </w:rPr>
        <w:t>aprobācijas koordinatore Ieva Sila, PIKC “Liepājas Valsts tehnikums” profesionālo mācību priekšmetu skolotāja Indra Ruperte</w:t>
      </w:r>
    </w:p>
    <w:p w14:paraId="700310EE" w14:textId="77777777" w:rsidR="002853F1" w:rsidRPr="00096361" w:rsidRDefault="0013253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2FAD">
        <w:rPr>
          <w:rFonts w:ascii="Times New Roman" w:hAnsi="Times New Roman"/>
          <w:b/>
          <w:sz w:val="24"/>
          <w:szCs w:val="24"/>
        </w:rPr>
        <w:t xml:space="preserve">Sanāksmi protokolē: </w:t>
      </w:r>
    </w:p>
    <w:p w14:paraId="40AD5DAB" w14:textId="77777777" w:rsidR="00687DE4" w:rsidRPr="009953A2" w:rsidRDefault="00132533" w:rsidP="00687DE4">
      <w:pPr>
        <w:jc w:val="both"/>
        <w:rPr>
          <w:rFonts w:ascii="Times New Roman" w:hAnsi="Times New Roman"/>
          <w:sz w:val="24"/>
          <w:szCs w:val="24"/>
        </w:rPr>
      </w:pPr>
      <w:r w:rsidRPr="00196EB0">
        <w:rPr>
          <w:rFonts w:ascii="Times New Roman" w:hAnsi="Times New Roman"/>
          <w:b/>
          <w:sz w:val="24"/>
          <w:szCs w:val="24"/>
        </w:rPr>
        <w:t xml:space="preserve">Sanāksmē </w:t>
      </w:r>
      <w:r w:rsidRPr="009953A2">
        <w:rPr>
          <w:rFonts w:ascii="Times New Roman" w:hAnsi="Times New Roman"/>
          <w:sz w:val="24"/>
          <w:szCs w:val="24"/>
        </w:rPr>
        <w:t xml:space="preserve">piedalās:  PIKC “Liepājas Valsts tehnikums” </w:t>
      </w:r>
      <w:r w:rsidR="00687DE4" w:rsidRPr="009953A2">
        <w:rPr>
          <w:rFonts w:ascii="Times New Roman" w:hAnsi="Times New Roman"/>
          <w:sz w:val="24"/>
          <w:szCs w:val="24"/>
        </w:rPr>
        <w:t>pedagogi</w:t>
      </w:r>
      <w:r w:rsidRPr="009953A2">
        <w:rPr>
          <w:rFonts w:ascii="Times New Roman" w:hAnsi="Times New Roman"/>
          <w:sz w:val="24"/>
          <w:szCs w:val="24"/>
        </w:rPr>
        <w:t xml:space="preserve"> </w:t>
      </w:r>
      <w:r w:rsidR="009953A2" w:rsidRPr="009953A2">
        <w:rPr>
          <w:rFonts w:ascii="Times New Roman" w:hAnsi="Times New Roman"/>
          <w:sz w:val="24"/>
          <w:szCs w:val="24"/>
        </w:rPr>
        <w:t xml:space="preserve">Inguna Antona, Linda Kravcova, Indra Ruperte, Agris Ruperts, Inga Vasermane, Ainars Vītoliņš, Ieva Sila, Zaiga Finka; Jēkabpils Agrobiznesa koledžas pedagogi Marika Boķe, Antoņina Vilima, Armands Līcītis; PIKC „Kandavas Lauksaimniecības tehnikums” pedagogi Aira Freimane, Liesma Kuzmina, VSIA PIKC „Rīgas Tūrisma un radošās industrijas tehnikums” pedagogi Anita Krūziņa-Liepa, Sarmīte Buka-Vaivade, Svetlana Valdmane; Rīgas Tirdzniecības profesionālās vidusskolas pedagogs Tatjana Džugleja, Valsts Izglītības atura centra </w:t>
      </w:r>
      <w:r w:rsidR="009953A2" w:rsidRPr="009953A2">
        <w:rPr>
          <w:rFonts w:ascii="Times New Roman" w:hAnsi="Times New Roman"/>
          <w:sz w:val="24"/>
          <w:szCs w:val="24"/>
          <w:shd w:val="clear" w:color="auto" w:fill="FFFFFF"/>
        </w:rPr>
        <w:t>Vecākā eksperte aprobācijas un profesionālās pilnveides jautājumos Inese Tone</w:t>
      </w:r>
    </w:p>
    <w:p w14:paraId="55EF2F7A" w14:textId="77777777" w:rsidR="002853F1" w:rsidRPr="00196EB0" w:rsidRDefault="002853F1" w:rsidP="00687D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D4AAA" w14:textId="77777777" w:rsidR="002853F1" w:rsidRPr="00832760" w:rsidRDefault="00132533" w:rsidP="00096361">
      <w:pPr>
        <w:spacing w:line="240" w:lineRule="auto"/>
        <w:jc w:val="both"/>
        <w:rPr>
          <w:rFonts w:ascii="Times New Roman" w:hAnsi="Times New Roman"/>
          <w:b/>
        </w:rPr>
      </w:pPr>
      <w:r w:rsidRPr="00C52C8C">
        <w:rPr>
          <w:rFonts w:ascii="Times New Roman" w:hAnsi="Times New Roman"/>
          <w:b/>
          <w:sz w:val="24"/>
          <w:szCs w:val="24"/>
        </w:rPr>
        <w:t xml:space="preserve"> </w:t>
      </w:r>
      <w:r w:rsidRPr="00832760">
        <w:rPr>
          <w:rFonts w:ascii="Times New Roman" w:hAnsi="Times New Roman"/>
          <w:b/>
          <w:sz w:val="24"/>
          <w:szCs w:val="24"/>
        </w:rPr>
        <w:t xml:space="preserve">Dienas kārtībā: </w:t>
      </w:r>
    </w:p>
    <w:p w14:paraId="37263273" w14:textId="77777777" w:rsidR="005F001F" w:rsidRPr="00673E5B" w:rsidRDefault="00066A84" w:rsidP="00673E5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E5B">
        <w:rPr>
          <w:rFonts w:ascii="Times New Roman" w:hAnsi="Times New Roman"/>
          <w:sz w:val="24"/>
          <w:szCs w:val="24"/>
        </w:rPr>
        <w:t>Moduļu "Uzņēmuma darbības pamatprocesi", "Preču un pakalpojumu pārdošana" un "Preču un pakalpojumu iepirkšana" satura papildinājumi un labojumi;</w:t>
      </w:r>
    </w:p>
    <w:p w14:paraId="4F6A45AF" w14:textId="77777777" w:rsidR="005F001F" w:rsidRPr="00673E5B" w:rsidRDefault="00066A84" w:rsidP="00673E5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73E5B">
        <w:rPr>
          <w:rFonts w:ascii="Times New Roman" w:hAnsi="Times New Roman"/>
          <w:sz w:val="24"/>
          <w:szCs w:val="24"/>
        </w:rPr>
        <w:t>Moduļu īstenošanas secības izmaiņas;</w:t>
      </w:r>
    </w:p>
    <w:p w14:paraId="3B003798" w14:textId="77777777" w:rsidR="005F001F" w:rsidRPr="00673E5B" w:rsidRDefault="00066A84" w:rsidP="00673E5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73E5B">
        <w:rPr>
          <w:rFonts w:ascii="Times New Roman" w:hAnsi="Times New Roman"/>
          <w:sz w:val="24"/>
          <w:szCs w:val="24"/>
        </w:rPr>
        <w:t>Vienota pārbaudes darba izstrāde modulim "Uzņēmuma darbības pamatprocesi»</w:t>
      </w:r>
    </w:p>
    <w:p w14:paraId="1261A713" w14:textId="77777777" w:rsidR="00D12FAD" w:rsidRPr="00673E5B" w:rsidRDefault="00D12FA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7534A1C" w14:textId="77777777" w:rsidR="002E58FE" w:rsidRPr="002E58FE" w:rsidRDefault="00132533" w:rsidP="002E58FE">
      <w:pPr>
        <w:spacing w:line="240" w:lineRule="auto"/>
        <w:jc w:val="both"/>
      </w:pPr>
      <w:r w:rsidRPr="00053CF6">
        <w:rPr>
          <w:rFonts w:ascii="Times New Roman" w:hAnsi="Times New Roman"/>
          <w:sz w:val="24"/>
          <w:szCs w:val="24"/>
        </w:rPr>
        <w:t xml:space="preserve">Sanāksmi atklāj: </w:t>
      </w:r>
      <w:r w:rsidR="00832760">
        <w:rPr>
          <w:rFonts w:ascii="Times New Roman" w:hAnsi="Times New Roman"/>
          <w:b/>
          <w:sz w:val="24"/>
          <w:szCs w:val="24"/>
        </w:rPr>
        <w:t>:</w:t>
      </w:r>
      <w:r w:rsidR="00832760">
        <w:rPr>
          <w:rFonts w:ascii="Times New Roman" w:hAnsi="Times New Roman"/>
          <w:sz w:val="24"/>
          <w:szCs w:val="24"/>
        </w:rPr>
        <w:t xml:space="preserve"> </w:t>
      </w:r>
      <w:r w:rsidR="00673E5B">
        <w:rPr>
          <w:rFonts w:ascii="Times New Roman" w:hAnsi="Times New Roman"/>
          <w:sz w:val="24"/>
          <w:szCs w:val="24"/>
        </w:rPr>
        <w:t>PIKC „Liepājas Valsts tehnikums” aprobācijas koordinatore Ieva Sila</w:t>
      </w:r>
    </w:p>
    <w:p w14:paraId="614EF594" w14:textId="77777777" w:rsidR="002853F1" w:rsidRDefault="001325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53CF6">
        <w:rPr>
          <w:rFonts w:ascii="Times New Roman" w:hAnsi="Times New Roman"/>
          <w:sz w:val="24"/>
          <w:szCs w:val="24"/>
          <w:u w:val="single"/>
        </w:rPr>
        <w:t>Par pirmo</w:t>
      </w:r>
      <w:r w:rsidR="0034064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53CF6">
        <w:rPr>
          <w:rFonts w:ascii="Times New Roman" w:hAnsi="Times New Roman"/>
          <w:sz w:val="24"/>
          <w:szCs w:val="24"/>
          <w:u w:val="single"/>
        </w:rPr>
        <w:t>jautājumu:</w:t>
      </w:r>
    </w:p>
    <w:p w14:paraId="2D300DB4" w14:textId="77777777" w:rsidR="007C79B8" w:rsidRDefault="007C79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79B8">
        <w:rPr>
          <w:rFonts w:ascii="Times New Roman" w:hAnsi="Times New Roman"/>
          <w:sz w:val="24"/>
          <w:szCs w:val="24"/>
        </w:rPr>
        <w:t>Inga Vasermane stāsta:</w:t>
      </w:r>
      <w:r w:rsidR="00DB3F85">
        <w:rPr>
          <w:rFonts w:ascii="Times New Roman" w:hAnsi="Times New Roman"/>
          <w:sz w:val="24"/>
          <w:szCs w:val="24"/>
        </w:rPr>
        <w:t xml:space="preserve">, </w:t>
      </w:r>
      <w:r w:rsidR="002E58FE">
        <w:rPr>
          <w:rFonts w:ascii="Times New Roman" w:hAnsi="Times New Roman"/>
          <w:sz w:val="24"/>
          <w:szCs w:val="24"/>
        </w:rPr>
        <w:t>Linda Kravcova papildina, ka Līgumu nepieciešams apskatīt jau no abām pusēm.</w:t>
      </w:r>
    </w:p>
    <w:p w14:paraId="278A6B30" w14:textId="77777777" w:rsidR="00DB3F85" w:rsidRDefault="00DB3F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3EDE24" w14:textId="77777777" w:rsidR="00DB3F85" w:rsidRDefault="00DB3F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DCCC6A" w14:textId="77777777" w:rsidR="00DB3F85" w:rsidRDefault="00475E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Uzņēmuma darbības pamatprocesi:</w:t>
      </w:r>
    </w:p>
    <w:p w14:paraId="039AE756" w14:textId="77777777" w:rsidR="00DB3F85" w:rsidRDefault="00475E68" w:rsidP="00475E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Tatjana Dūgleja informē, ka </w:t>
      </w:r>
      <w:r w:rsidR="00834F2D">
        <w:rPr>
          <w:rFonts w:ascii="Times New Roman" w:hAnsi="Times New Roman"/>
          <w:sz w:val="24"/>
          <w:szCs w:val="24"/>
        </w:rPr>
        <w:t>nevajadzētu sākt ar struktūrā</w:t>
      </w:r>
      <w:r w:rsidR="00DB3F85">
        <w:rPr>
          <w:rFonts w:ascii="Times New Roman" w:hAnsi="Times New Roman"/>
          <w:sz w:val="24"/>
          <w:szCs w:val="24"/>
        </w:rPr>
        <w:t xml:space="preserve">m, tas ir par </w:t>
      </w:r>
      <w:r w:rsidR="00834F2D">
        <w:rPr>
          <w:rFonts w:ascii="Times New Roman" w:hAnsi="Times New Roman"/>
          <w:sz w:val="24"/>
          <w:szCs w:val="24"/>
        </w:rPr>
        <w:t>sarežģītu.</w:t>
      </w:r>
      <w:r w:rsidR="00DB3F85">
        <w:rPr>
          <w:rFonts w:ascii="Times New Roman" w:hAnsi="Times New Roman"/>
          <w:sz w:val="24"/>
          <w:szCs w:val="24"/>
        </w:rPr>
        <w:t xml:space="preserve"> </w:t>
      </w:r>
      <w:r w:rsidR="00834F2D">
        <w:rPr>
          <w:rFonts w:ascii="Times New Roman" w:hAnsi="Times New Roman"/>
          <w:sz w:val="24"/>
          <w:szCs w:val="24"/>
        </w:rPr>
        <w:t>Iesaka sākt ar komercdarbības jēdzieniem.</w:t>
      </w:r>
    </w:p>
    <w:p w14:paraId="68A98636" w14:textId="77777777" w:rsidR="00DB3F85" w:rsidRDefault="00DB3F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34F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 unb 4</w:t>
      </w:r>
      <w:r w:rsidR="00834F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3. apak</w:t>
      </w:r>
      <w:r w:rsidR="00834F2D">
        <w:rPr>
          <w:rFonts w:ascii="Times New Roman" w:hAnsi="Times New Roman"/>
          <w:sz w:val="24"/>
          <w:szCs w:val="24"/>
        </w:rPr>
        <w:t>štēmas – diez gan liels % ī</w:t>
      </w:r>
      <w:r>
        <w:rPr>
          <w:rFonts w:ascii="Times New Roman" w:hAnsi="Times New Roman"/>
          <w:sz w:val="24"/>
          <w:szCs w:val="24"/>
        </w:rPr>
        <w:t>patsvars</w:t>
      </w:r>
      <w:r w:rsidR="00834F2D">
        <w:rPr>
          <w:rFonts w:ascii="Times New Roman" w:hAnsi="Times New Roman"/>
          <w:sz w:val="24"/>
          <w:szCs w:val="24"/>
        </w:rPr>
        <w:t>.</w:t>
      </w:r>
    </w:p>
    <w:p w14:paraId="4A8EB9C1" w14:textId="77777777" w:rsidR="00DB3F85" w:rsidRDefault="00834F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tē</w:t>
      </w:r>
      <w:r w:rsidR="00DB3F85">
        <w:rPr>
          <w:rFonts w:ascii="Times New Roman" w:hAnsi="Times New Roman"/>
          <w:sz w:val="24"/>
          <w:szCs w:val="24"/>
        </w:rPr>
        <w:t>ma darba dro</w:t>
      </w:r>
      <w:r>
        <w:rPr>
          <w:rFonts w:ascii="Times New Roman" w:hAnsi="Times New Roman"/>
          <w:sz w:val="24"/>
          <w:szCs w:val="24"/>
        </w:rPr>
        <w:t>šība – drošība duble</w:t>
      </w:r>
      <w:r w:rsidR="00DB3F85">
        <w:rPr>
          <w:rFonts w:ascii="Times New Roman" w:hAnsi="Times New Roman"/>
          <w:sz w:val="24"/>
          <w:szCs w:val="24"/>
        </w:rPr>
        <w:t xml:space="preserve">jas ar </w:t>
      </w:r>
      <w:r>
        <w:rPr>
          <w:rFonts w:ascii="Times New Roman" w:hAnsi="Times New Roman"/>
          <w:sz w:val="24"/>
          <w:szCs w:val="24"/>
        </w:rPr>
        <w:t>mūžizglītības moduli “Sabiedrība un cilvēka drošība”. Nepieciešamas “Darba tiesiskās attiecī</w:t>
      </w:r>
      <w:r w:rsidR="00DB3F85">
        <w:rPr>
          <w:rFonts w:ascii="Times New Roman" w:hAnsi="Times New Roman"/>
          <w:sz w:val="24"/>
          <w:szCs w:val="24"/>
        </w:rPr>
        <w:t>bas”</w:t>
      </w:r>
    </w:p>
    <w:p w14:paraId="60790FC8" w14:textId="77777777" w:rsidR="00DB3F85" w:rsidRDefault="00B612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Ekonomikas daļ</w:t>
      </w:r>
      <w:r w:rsidR="00DB3F85">
        <w:rPr>
          <w:rFonts w:ascii="Times New Roman" w:hAnsi="Times New Roman"/>
          <w:sz w:val="24"/>
          <w:szCs w:val="24"/>
        </w:rPr>
        <w:t xml:space="preserve">a – </w:t>
      </w:r>
      <w:r>
        <w:rPr>
          <w:rFonts w:ascii="Times New Roman" w:hAnsi="Times New Roman"/>
          <w:sz w:val="24"/>
          <w:szCs w:val="24"/>
        </w:rPr>
        <w:t>jāpārskata</w:t>
      </w:r>
      <w:r w:rsidR="00DB3F85">
        <w:rPr>
          <w:rFonts w:ascii="Times New Roman" w:hAnsi="Times New Roman"/>
          <w:sz w:val="24"/>
          <w:szCs w:val="24"/>
        </w:rPr>
        <w:t xml:space="preserve"> saturs, lai </w:t>
      </w:r>
      <w:r>
        <w:rPr>
          <w:rFonts w:ascii="Times New Roman" w:hAnsi="Times New Roman"/>
          <w:sz w:val="24"/>
          <w:szCs w:val="24"/>
        </w:rPr>
        <w:t>nedublējas ar mācību priekšmetu</w:t>
      </w:r>
      <w:r w:rsidR="00DB3F85">
        <w:rPr>
          <w:rFonts w:ascii="Times New Roman" w:hAnsi="Times New Roman"/>
          <w:sz w:val="24"/>
          <w:szCs w:val="24"/>
        </w:rPr>
        <w:t xml:space="preserve"> “Ekonomika</w:t>
      </w:r>
      <w:r w:rsidR="004416D8">
        <w:rPr>
          <w:rFonts w:ascii="Times New Roman" w:hAnsi="Times New Roman"/>
          <w:sz w:val="24"/>
          <w:szCs w:val="24"/>
        </w:rPr>
        <w:t>”</w:t>
      </w:r>
    </w:p>
    <w:p w14:paraId="1F5F505D" w14:textId="77777777" w:rsidR="00D20656" w:rsidRPr="007C79B8" w:rsidRDefault="00D206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Indra Ruperte papildina, ka moduļa saturs atkārtojas gan Ekonomikā, gan modulī, gan mūžizglītības modulī. Mūžizglītības moduļi ir novecojuši un tie ir jāpārstrādā.</w:t>
      </w:r>
    </w:p>
    <w:p w14:paraId="269AB80F" w14:textId="77777777" w:rsidR="000E7D9B" w:rsidRDefault="000E7D9B" w:rsidP="00307D0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893DABD" w14:textId="77777777" w:rsidR="00307D0B" w:rsidRDefault="000E7D9B" w:rsidP="000E7D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Armands Līcītis no Jēkabpils Agrobiznesa koledžas i</w:t>
      </w:r>
      <w:r w:rsidR="00307D0B" w:rsidRPr="00307D0B">
        <w:rPr>
          <w:rFonts w:ascii="Times New Roman" w:hAnsi="Times New Roman"/>
          <w:sz w:val="24"/>
          <w:szCs w:val="24"/>
        </w:rPr>
        <w:t>nformē, ka moduli vadīs 5 pasniedzēji. Struktūra par sarežģītu, jāsāk ar komercdarbību. Ekonomikas daļu izņemt</w:t>
      </w:r>
      <w:r w:rsidR="00307D0B">
        <w:rPr>
          <w:rFonts w:ascii="Times New Roman" w:hAnsi="Times New Roman"/>
          <w:sz w:val="24"/>
          <w:szCs w:val="24"/>
        </w:rPr>
        <w:t xml:space="preserve"> ārā un ielikt iekšā prečzinība, preču kategoriju vadība</w:t>
      </w:r>
      <w:r w:rsidR="008229EE">
        <w:rPr>
          <w:rFonts w:ascii="Times New Roman" w:hAnsi="Times New Roman"/>
          <w:sz w:val="24"/>
          <w:szCs w:val="24"/>
        </w:rPr>
        <w:t>. Pirmajā kursā ir tikai vispārizglītojošie priekšmeti, profesiaonālie sākas tikai 2. kursā.</w:t>
      </w:r>
    </w:p>
    <w:p w14:paraId="7B3B3C7A" w14:textId="77777777" w:rsidR="00012ED1" w:rsidRDefault="00012ED1" w:rsidP="00307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C20E3" w14:textId="77777777" w:rsidR="00012ED1" w:rsidRDefault="000E7D9B" w:rsidP="00307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Pedagogi no „</w:t>
      </w:r>
      <w:r w:rsidRPr="009953A2">
        <w:rPr>
          <w:rFonts w:ascii="Times New Roman" w:hAnsi="Times New Roman"/>
          <w:sz w:val="24"/>
          <w:szCs w:val="24"/>
        </w:rPr>
        <w:t xml:space="preserve">Rīgas Tūrisma </w:t>
      </w:r>
      <w:r>
        <w:rPr>
          <w:rFonts w:ascii="Times New Roman" w:hAnsi="Times New Roman"/>
          <w:sz w:val="24"/>
          <w:szCs w:val="24"/>
        </w:rPr>
        <w:t xml:space="preserve">un radošās industrijas tehnikuma” informē, ka pietrūkst </w:t>
      </w:r>
      <w:r w:rsidR="00BB10E6">
        <w:rPr>
          <w:rFonts w:ascii="Times New Roman" w:hAnsi="Times New Roman"/>
          <w:sz w:val="24"/>
          <w:szCs w:val="24"/>
        </w:rPr>
        <w:t>preču kategorijas un klasifikācija (3</w:t>
      </w:r>
      <w:r w:rsidR="00EA3977">
        <w:rPr>
          <w:rFonts w:ascii="Times New Roman" w:hAnsi="Times New Roman"/>
          <w:sz w:val="24"/>
          <w:szCs w:val="24"/>
        </w:rPr>
        <w:t>.17 punkts no Komercdarbinieks s</w:t>
      </w:r>
      <w:r w:rsidR="00BB10E6">
        <w:rPr>
          <w:rFonts w:ascii="Times New Roman" w:hAnsi="Times New Roman"/>
          <w:sz w:val="24"/>
          <w:szCs w:val="24"/>
        </w:rPr>
        <w:t>tandarta)</w:t>
      </w:r>
    </w:p>
    <w:p w14:paraId="5CD67503" w14:textId="77777777" w:rsidR="0078342B" w:rsidRDefault="0078342B" w:rsidP="00307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Mazā uzņēmuma vadīšana – pārveidot par obligāto, papildinot saturu</w:t>
      </w:r>
      <w:r w:rsidR="00D342FB">
        <w:rPr>
          <w:rFonts w:ascii="Times New Roman" w:hAnsi="Times New Roman"/>
          <w:sz w:val="24"/>
          <w:szCs w:val="24"/>
        </w:rPr>
        <w:t xml:space="preserve"> par uzņēmuma vadīšanu,. Zaiga Finka papildina, ka ir kvalifikācijas līmeņi, kas nosaka, ka uzņēmuma vadīšana ir 4. un 5. kvalifikācijas līmenis.</w:t>
      </w:r>
    </w:p>
    <w:p w14:paraId="2A53D80C" w14:textId="77777777" w:rsidR="00134E47" w:rsidRDefault="00134E47" w:rsidP="00307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9403AC" w14:textId="223EB0C2" w:rsidR="00134E47" w:rsidRDefault="000E7D9B" w:rsidP="00307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Pedagogi no „</w:t>
      </w:r>
      <w:r w:rsidR="00134E47">
        <w:rPr>
          <w:rFonts w:ascii="Times New Roman" w:hAnsi="Times New Roman"/>
          <w:sz w:val="24"/>
          <w:szCs w:val="24"/>
        </w:rPr>
        <w:t>Kandavas lauksaimniecības tehnikums</w:t>
      </w:r>
      <w:r>
        <w:rPr>
          <w:rFonts w:ascii="Times New Roman" w:hAnsi="Times New Roman"/>
          <w:sz w:val="24"/>
          <w:szCs w:val="24"/>
        </w:rPr>
        <w:t>”informē, ka j</w:t>
      </w:r>
      <w:r w:rsidR="00134E47">
        <w:rPr>
          <w:rFonts w:ascii="Times New Roman" w:hAnsi="Times New Roman"/>
          <w:sz w:val="24"/>
          <w:szCs w:val="24"/>
        </w:rPr>
        <w:t>āsāk ar to, kas ir uzņēmums, kāda v</w:t>
      </w:r>
      <w:r w:rsidR="00AB3045">
        <w:rPr>
          <w:rFonts w:ascii="Times New Roman" w:hAnsi="Times New Roman"/>
          <w:sz w:val="24"/>
          <w:szCs w:val="24"/>
        </w:rPr>
        <w:t>eid</w:t>
      </w:r>
      <w:r w:rsidR="00134E47">
        <w:rPr>
          <w:rFonts w:ascii="Times New Roman" w:hAnsi="Times New Roman"/>
          <w:sz w:val="24"/>
          <w:szCs w:val="24"/>
        </w:rPr>
        <w:t>a uzņēmums, kas ir lielie, kas ir mazie uzņē</w:t>
      </w:r>
      <w:r w:rsidR="00AB3045">
        <w:rPr>
          <w:rFonts w:ascii="Times New Roman" w:hAnsi="Times New Roman"/>
          <w:sz w:val="24"/>
          <w:szCs w:val="24"/>
        </w:rPr>
        <w:t>mu</w:t>
      </w:r>
      <w:r w:rsidR="00134E47">
        <w:rPr>
          <w:rFonts w:ascii="Times New Roman" w:hAnsi="Times New Roman"/>
          <w:sz w:val="24"/>
          <w:szCs w:val="24"/>
        </w:rPr>
        <w:t>mi</w:t>
      </w:r>
      <w:r w:rsidR="00AB3045">
        <w:rPr>
          <w:rFonts w:ascii="Times New Roman" w:hAnsi="Times New Roman"/>
          <w:sz w:val="24"/>
          <w:szCs w:val="24"/>
        </w:rPr>
        <w:t>.</w:t>
      </w:r>
    </w:p>
    <w:p w14:paraId="625DC9FB" w14:textId="77777777" w:rsidR="00697DA7" w:rsidRDefault="00697DA7" w:rsidP="00307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 ir statūtkapitāls, kas ir uzņēmuma līdzekļi, kā tie veidojas</w:t>
      </w:r>
    </w:p>
    <w:p w14:paraId="431A7C9F" w14:textId="77777777" w:rsidR="00697DA7" w:rsidRDefault="00697DA7" w:rsidP="00307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Uzņē</w:t>
      </w:r>
      <w:r w:rsidR="00655C49">
        <w:rPr>
          <w:rFonts w:ascii="Times New Roman" w:hAnsi="Times New Roman"/>
          <w:sz w:val="24"/>
          <w:szCs w:val="24"/>
        </w:rPr>
        <w:t>muma dzīves cikls un riski, apv</w:t>
      </w:r>
      <w:r>
        <w:rPr>
          <w:rFonts w:ascii="Times New Roman" w:hAnsi="Times New Roman"/>
          <w:sz w:val="24"/>
          <w:szCs w:val="24"/>
        </w:rPr>
        <w:t>ienot darba vides riski un uzņēmējdarbības riksi vajdzētu apvienot</w:t>
      </w:r>
    </w:p>
    <w:p w14:paraId="6A2BC2D1" w14:textId="77777777" w:rsidR="00697DA7" w:rsidRDefault="00697DA7" w:rsidP="00307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Dokumenti – kāpēc tur iemesti iekšā, kāpēc ielikta darba samaksa</w:t>
      </w:r>
    </w:p>
    <w:p w14:paraId="2BDDAAB6" w14:textId="77777777" w:rsidR="004E4554" w:rsidRPr="00E43C27" w:rsidRDefault="00841078" w:rsidP="00E43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8.tēma – jāņem ārā un jāliek iekšā preču kategorijas</w:t>
      </w:r>
    </w:p>
    <w:p w14:paraId="71EAD956" w14:textId="77777777" w:rsidR="00D96417" w:rsidRDefault="00D96417" w:rsidP="003406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9A0B48C" w14:textId="77777777" w:rsidR="00340648" w:rsidRDefault="00340648" w:rsidP="003406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53CF6">
        <w:rPr>
          <w:rFonts w:ascii="Times New Roman" w:hAnsi="Times New Roman"/>
          <w:sz w:val="24"/>
          <w:szCs w:val="24"/>
          <w:u w:val="single"/>
        </w:rPr>
        <w:t xml:space="preserve">Par </w:t>
      </w:r>
      <w:r w:rsidR="007604B8">
        <w:rPr>
          <w:rFonts w:ascii="Times New Roman" w:hAnsi="Times New Roman"/>
          <w:sz w:val="24"/>
          <w:szCs w:val="24"/>
          <w:u w:val="single"/>
        </w:rPr>
        <w:t>otro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53CF6">
        <w:rPr>
          <w:rFonts w:ascii="Times New Roman" w:hAnsi="Times New Roman"/>
          <w:sz w:val="24"/>
          <w:szCs w:val="24"/>
          <w:u w:val="single"/>
        </w:rPr>
        <w:t xml:space="preserve"> jautājumu:</w:t>
      </w:r>
    </w:p>
    <w:p w14:paraId="053B45E4" w14:textId="77777777" w:rsidR="007604B8" w:rsidRPr="00E43C27" w:rsidRDefault="00E43C27" w:rsidP="003406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Grupa izsaka viedokli, ka nepieciešams papildināt moduli “Preču un pakalpojumu iepirkšana” ieejas nosacījumus ar to, ka to drīkst īstenot paralēli ar moduli “Uzņēmuma darbības pamatprocesi”</w:t>
      </w:r>
    </w:p>
    <w:p w14:paraId="4DF4E5F0" w14:textId="77777777" w:rsidR="00EE4847" w:rsidRDefault="00EE4847" w:rsidP="00760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6052C" w14:textId="77777777" w:rsidR="007604B8" w:rsidRPr="00053CF6" w:rsidRDefault="007604B8" w:rsidP="007604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53CF6">
        <w:rPr>
          <w:rFonts w:ascii="Times New Roman" w:hAnsi="Times New Roman"/>
          <w:sz w:val="24"/>
          <w:szCs w:val="24"/>
          <w:u w:val="single"/>
        </w:rPr>
        <w:t xml:space="preserve">Par </w:t>
      </w:r>
      <w:r>
        <w:rPr>
          <w:rFonts w:ascii="Times New Roman" w:hAnsi="Times New Roman"/>
          <w:sz w:val="24"/>
          <w:szCs w:val="24"/>
          <w:u w:val="single"/>
        </w:rPr>
        <w:t>trešo</w:t>
      </w:r>
      <w:r w:rsidRPr="00053CF6">
        <w:rPr>
          <w:rFonts w:ascii="Times New Roman" w:hAnsi="Times New Roman"/>
          <w:sz w:val="24"/>
          <w:szCs w:val="24"/>
          <w:u w:val="single"/>
        </w:rPr>
        <w:t xml:space="preserve"> jautājumu:</w:t>
      </w:r>
    </w:p>
    <w:p w14:paraId="18A152C9" w14:textId="77777777" w:rsidR="007604B8" w:rsidRDefault="00F50F68" w:rsidP="00760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Grupa izsaka viedokli, ka šāds pārbaudes darbs ir nepieciešams. Prāta vētras procesā izsaka viedokļus, kās varētu tikt iekļauts šādā pārbaudes darbā. </w:t>
      </w:r>
      <w:r w:rsidR="000E7D9B">
        <w:rPr>
          <w:rFonts w:ascii="Times New Roman" w:hAnsi="Times New Roman"/>
          <w:sz w:val="24"/>
          <w:szCs w:val="24"/>
        </w:rPr>
        <w:t xml:space="preserve">Svetlana Valdmane un Tatjana </w:t>
      </w:r>
      <w:r>
        <w:rPr>
          <w:rFonts w:ascii="Times New Roman" w:hAnsi="Times New Roman"/>
          <w:sz w:val="24"/>
          <w:szCs w:val="24"/>
        </w:rPr>
        <w:t>Džugleja izsaka konkrētus priekšlikumus.</w:t>
      </w:r>
      <w:r w:rsidR="00D96417">
        <w:rPr>
          <w:rFonts w:ascii="Times New Roman" w:hAnsi="Times New Roman"/>
          <w:sz w:val="24"/>
          <w:szCs w:val="24"/>
        </w:rPr>
        <w:t xml:space="preserve"> Uz tāfeles tiek uzrakstīti iespējamie pārbaudes jautājumi.</w:t>
      </w:r>
    </w:p>
    <w:p w14:paraId="7FF1AEC6" w14:textId="77777777" w:rsidR="00193099" w:rsidRDefault="00193099" w:rsidP="00760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CAE640" w14:textId="77777777" w:rsidR="00BD5C4F" w:rsidRDefault="00BD5C4F" w:rsidP="00E47B7F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14:paraId="03F01D10" w14:textId="77777777" w:rsidR="002853F1" w:rsidRDefault="00132533" w:rsidP="00290ED2">
      <w:pPr>
        <w:pStyle w:val="Heading3"/>
        <w:shd w:val="clear" w:color="auto" w:fill="FFFFFF"/>
        <w:spacing w:before="0" w:after="0"/>
        <w:jc w:val="both"/>
        <w:rPr>
          <w:sz w:val="24"/>
          <w:szCs w:val="24"/>
        </w:rPr>
      </w:pPr>
      <w:r w:rsidRPr="00290ED2">
        <w:rPr>
          <w:sz w:val="24"/>
          <w:szCs w:val="24"/>
        </w:rPr>
        <w:t>Nolemj:</w:t>
      </w:r>
    </w:p>
    <w:p w14:paraId="2D97B360" w14:textId="77777777" w:rsidR="00701278" w:rsidRPr="00032F4B" w:rsidRDefault="000E7D9B" w:rsidP="006A7765">
      <w:pPr>
        <w:pStyle w:val="Heading3"/>
        <w:numPr>
          <w:ilvl w:val="0"/>
          <w:numId w:val="11"/>
        </w:numPr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 w:rsidRPr="00032F4B">
        <w:rPr>
          <w:b w:val="0"/>
          <w:sz w:val="24"/>
          <w:szCs w:val="24"/>
        </w:rPr>
        <w:t>Izveidot googledrive vidi, k</w:t>
      </w:r>
      <w:r w:rsidR="006A7765" w:rsidRPr="00032F4B">
        <w:rPr>
          <w:b w:val="0"/>
          <w:sz w:val="24"/>
          <w:szCs w:val="24"/>
        </w:rPr>
        <w:t>ur ievietot moduli “Uzņēmuma darbības pamatoprocesi”</w:t>
      </w:r>
      <w:r w:rsidR="00D96417" w:rsidRPr="00032F4B">
        <w:rPr>
          <w:b w:val="0"/>
          <w:sz w:val="24"/>
          <w:szCs w:val="24"/>
        </w:rPr>
        <w:t>, izstrādāto pārbaudes darbu. Atbildīgais – Ieva Sila</w:t>
      </w:r>
    </w:p>
    <w:p w14:paraId="2FC92512" w14:textId="77777777" w:rsidR="00CC5286" w:rsidRPr="00032F4B" w:rsidRDefault="00D96417" w:rsidP="006A7765">
      <w:pPr>
        <w:pStyle w:val="Heading3"/>
        <w:numPr>
          <w:ilvl w:val="0"/>
          <w:numId w:val="11"/>
        </w:numPr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 w:rsidRPr="00032F4B">
        <w:rPr>
          <w:b w:val="0"/>
          <w:sz w:val="24"/>
          <w:szCs w:val="24"/>
        </w:rPr>
        <w:t>Mainīt moduļa „Uzņēmuma darbības pamatprocesi” saturu</w:t>
      </w:r>
      <w:r w:rsidR="00CC5286" w:rsidRPr="00032F4B">
        <w:rPr>
          <w:b w:val="0"/>
          <w:sz w:val="24"/>
          <w:szCs w:val="24"/>
        </w:rPr>
        <w:t>:</w:t>
      </w:r>
    </w:p>
    <w:p w14:paraId="529FEA0C" w14:textId="77777777" w:rsidR="00CC5286" w:rsidRPr="00032F4B" w:rsidRDefault="00D96417" w:rsidP="00CC5286">
      <w:pPr>
        <w:pStyle w:val="Heading3"/>
        <w:numPr>
          <w:ilvl w:val="0"/>
          <w:numId w:val="14"/>
        </w:numPr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 w:rsidRPr="00032F4B">
        <w:rPr>
          <w:b w:val="0"/>
          <w:sz w:val="24"/>
          <w:szCs w:val="24"/>
        </w:rPr>
        <w:t>izslēgt Ekonomikas sada</w:t>
      </w:r>
      <w:r w:rsidR="00CC5286" w:rsidRPr="00032F4B">
        <w:rPr>
          <w:b w:val="0"/>
          <w:sz w:val="24"/>
          <w:szCs w:val="24"/>
        </w:rPr>
        <w:t>ļu (8.sasniedzamais rezultāts);</w:t>
      </w:r>
    </w:p>
    <w:p w14:paraId="5BE2A546" w14:textId="06D533BB" w:rsidR="00CC5286" w:rsidRPr="00032F4B" w:rsidRDefault="00D96417" w:rsidP="00CC5286">
      <w:pPr>
        <w:pStyle w:val="Heading3"/>
        <w:numPr>
          <w:ilvl w:val="0"/>
          <w:numId w:val="14"/>
        </w:numPr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 w:rsidRPr="00032F4B">
        <w:rPr>
          <w:b w:val="0"/>
          <w:sz w:val="24"/>
          <w:szCs w:val="24"/>
        </w:rPr>
        <w:t xml:space="preserve">sasniedzamo rezultātu „Spēj: izskaidrot saimnieciskās darbības galvenos principus, vidi un formas” pārvietot uz sākumu, saturā iekļaut tēmas: </w:t>
      </w:r>
      <w:r w:rsidRPr="00032F4B">
        <w:rPr>
          <w:b w:val="0"/>
          <w:sz w:val="24"/>
          <w:szCs w:val="24"/>
        </w:rPr>
        <w:lastRenderedPageBreak/>
        <w:t>Maksātnespēja, sanācija un bankrots;</w:t>
      </w:r>
      <w:r w:rsidR="00CC5286" w:rsidRPr="00032F4B">
        <w:rPr>
          <w:b w:val="0"/>
          <w:sz w:val="24"/>
          <w:szCs w:val="24"/>
        </w:rPr>
        <w:t xml:space="preserve"> </w:t>
      </w:r>
      <w:r w:rsidRPr="00032F4B">
        <w:rPr>
          <w:b w:val="0"/>
          <w:sz w:val="24"/>
          <w:szCs w:val="24"/>
        </w:rPr>
        <w:t>Uzņēmējdarbības u</w:t>
      </w:r>
      <w:r w:rsidR="00855A48">
        <w:rPr>
          <w:b w:val="0"/>
          <w:sz w:val="24"/>
          <w:szCs w:val="24"/>
        </w:rPr>
        <w:t>z</w:t>
      </w:r>
      <w:r w:rsidRPr="00032F4B">
        <w:rPr>
          <w:b w:val="0"/>
          <w:sz w:val="24"/>
          <w:szCs w:val="24"/>
        </w:rPr>
        <w:t>s</w:t>
      </w:r>
      <w:r w:rsidR="00855A48">
        <w:rPr>
          <w:b w:val="0"/>
          <w:sz w:val="24"/>
          <w:szCs w:val="24"/>
        </w:rPr>
        <w:t>ā</w:t>
      </w:r>
      <w:r w:rsidRPr="00032F4B">
        <w:rPr>
          <w:b w:val="0"/>
          <w:sz w:val="24"/>
          <w:szCs w:val="24"/>
        </w:rPr>
        <w:t>kšanai nepieciešamie līdzekļi</w:t>
      </w:r>
      <w:r w:rsidR="00CC5286" w:rsidRPr="00032F4B">
        <w:rPr>
          <w:b w:val="0"/>
          <w:sz w:val="24"/>
          <w:szCs w:val="24"/>
        </w:rPr>
        <w:t xml:space="preserve">; Pamatlīdzekļu amortizācija; Darba samaksas formas; </w:t>
      </w:r>
      <w:r w:rsidR="00C42C37" w:rsidRPr="00032F4B">
        <w:rPr>
          <w:b w:val="0"/>
          <w:sz w:val="24"/>
          <w:szCs w:val="24"/>
        </w:rPr>
        <w:t>Darba ražīgums.</w:t>
      </w:r>
    </w:p>
    <w:p w14:paraId="20EB633F" w14:textId="77777777" w:rsidR="00C42C37" w:rsidRPr="00032F4B" w:rsidRDefault="00C42C37" w:rsidP="00C42C37">
      <w:pPr>
        <w:pStyle w:val="Heading3"/>
        <w:shd w:val="clear" w:color="auto" w:fill="FFFFFF"/>
        <w:spacing w:before="0" w:after="0"/>
        <w:ind w:left="360"/>
        <w:jc w:val="both"/>
        <w:rPr>
          <w:b w:val="0"/>
          <w:sz w:val="24"/>
          <w:szCs w:val="24"/>
        </w:rPr>
      </w:pPr>
      <w:r w:rsidRPr="00032F4B">
        <w:rPr>
          <w:b w:val="0"/>
          <w:sz w:val="24"/>
          <w:szCs w:val="24"/>
        </w:rPr>
        <w:t>Atbildīgais – Ieva Sila, Indra Ruperte</w:t>
      </w:r>
    </w:p>
    <w:p w14:paraId="014B222F" w14:textId="77777777" w:rsidR="00CC5286" w:rsidRPr="00032F4B" w:rsidRDefault="00CC5286" w:rsidP="00CC5286">
      <w:pPr>
        <w:pStyle w:val="Heading3"/>
        <w:shd w:val="clear" w:color="auto" w:fill="FFFFFF"/>
        <w:spacing w:before="0" w:after="0"/>
        <w:ind w:left="720"/>
        <w:jc w:val="both"/>
        <w:rPr>
          <w:b w:val="0"/>
          <w:sz w:val="24"/>
          <w:szCs w:val="24"/>
        </w:rPr>
      </w:pPr>
    </w:p>
    <w:p w14:paraId="3A6B24B0" w14:textId="77777777" w:rsidR="006A7765" w:rsidRPr="00032F4B" w:rsidRDefault="006A7765" w:rsidP="006A7765">
      <w:pPr>
        <w:pStyle w:val="Heading3"/>
        <w:numPr>
          <w:ilvl w:val="0"/>
          <w:numId w:val="11"/>
        </w:numPr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 w:rsidRPr="00032F4B">
        <w:rPr>
          <w:b w:val="0"/>
          <w:sz w:val="24"/>
          <w:szCs w:val="24"/>
        </w:rPr>
        <w:t xml:space="preserve">Linda Kravcova </w:t>
      </w:r>
      <w:r w:rsidR="00D96417" w:rsidRPr="00032F4B">
        <w:rPr>
          <w:b w:val="0"/>
          <w:sz w:val="24"/>
          <w:szCs w:val="24"/>
        </w:rPr>
        <w:t xml:space="preserve">un </w:t>
      </w:r>
      <w:r w:rsidR="00661C7D" w:rsidRPr="00032F4B">
        <w:rPr>
          <w:b w:val="0"/>
          <w:sz w:val="24"/>
          <w:szCs w:val="24"/>
        </w:rPr>
        <w:t xml:space="preserve">Krūziņai Liepai </w:t>
      </w:r>
      <w:r w:rsidR="00C42C37" w:rsidRPr="00032F4B">
        <w:rPr>
          <w:b w:val="0"/>
          <w:sz w:val="24"/>
          <w:szCs w:val="24"/>
        </w:rPr>
        <w:t>sagatavo izmaiņas modulim “Preču un pakalpojum</w:t>
      </w:r>
      <w:r w:rsidRPr="00032F4B">
        <w:rPr>
          <w:b w:val="0"/>
          <w:sz w:val="24"/>
          <w:szCs w:val="24"/>
        </w:rPr>
        <w:t xml:space="preserve"> </w:t>
      </w:r>
      <w:r w:rsidR="00C42C37" w:rsidRPr="00032F4B">
        <w:rPr>
          <w:b w:val="0"/>
          <w:sz w:val="24"/>
          <w:szCs w:val="24"/>
        </w:rPr>
        <w:t xml:space="preserve">iepirkšana”, </w:t>
      </w:r>
      <w:r w:rsidR="00D96417" w:rsidRPr="00032F4B">
        <w:rPr>
          <w:b w:val="0"/>
          <w:sz w:val="24"/>
          <w:szCs w:val="24"/>
        </w:rPr>
        <w:t xml:space="preserve">papildinot saturu ar sasniedzamo rezultātu </w:t>
      </w:r>
      <w:r w:rsidR="00C42C37" w:rsidRPr="00032F4B">
        <w:rPr>
          <w:b w:val="0"/>
          <w:sz w:val="24"/>
          <w:szCs w:val="24"/>
        </w:rPr>
        <w:t>par preču kategorijām;</w:t>
      </w:r>
    </w:p>
    <w:p w14:paraId="3B6B55F2" w14:textId="77777777" w:rsidR="00411F1C" w:rsidRPr="00032F4B" w:rsidRDefault="00411F1C" w:rsidP="006A7765">
      <w:pPr>
        <w:pStyle w:val="Heading3"/>
        <w:numPr>
          <w:ilvl w:val="0"/>
          <w:numId w:val="11"/>
        </w:numPr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 w:rsidRPr="00032F4B">
        <w:rPr>
          <w:b w:val="0"/>
          <w:sz w:val="24"/>
          <w:szCs w:val="24"/>
        </w:rPr>
        <w:t xml:space="preserve">Izstrādāt moduļa “Uzņēmuma darbības pamatprocesi” noslēguma </w:t>
      </w:r>
      <w:r w:rsidR="00BE1694" w:rsidRPr="00032F4B">
        <w:rPr>
          <w:b w:val="0"/>
          <w:sz w:val="24"/>
          <w:szCs w:val="24"/>
        </w:rPr>
        <w:t>pārbaudes darbu</w:t>
      </w:r>
      <w:r w:rsidR="00483410" w:rsidRPr="00032F4B">
        <w:rPr>
          <w:b w:val="0"/>
          <w:sz w:val="24"/>
          <w:szCs w:val="24"/>
        </w:rPr>
        <w:t>:</w:t>
      </w:r>
    </w:p>
    <w:p w14:paraId="1FCCFA56" w14:textId="77777777" w:rsidR="00BC4844" w:rsidRPr="00032F4B" w:rsidRDefault="006343D4" w:rsidP="00483410">
      <w:pPr>
        <w:pStyle w:val="Heading3"/>
        <w:numPr>
          <w:ilvl w:val="0"/>
          <w:numId w:val="13"/>
        </w:numPr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 w:rsidRPr="00032F4B">
        <w:rPr>
          <w:b w:val="0"/>
          <w:sz w:val="24"/>
          <w:szCs w:val="24"/>
        </w:rPr>
        <w:t>Indra Ruperte sagatavos darba lapas</w:t>
      </w:r>
      <w:r w:rsidR="00C42C37" w:rsidRPr="00032F4B">
        <w:rPr>
          <w:b w:val="0"/>
          <w:sz w:val="24"/>
          <w:szCs w:val="24"/>
        </w:rPr>
        <w:t>, tās tiek ievietotas google vidē, lai pārējie darba grupas dalībnieki var pārskatīt un izteikt priekšlikumus;</w:t>
      </w:r>
    </w:p>
    <w:p w14:paraId="15AC6B6B" w14:textId="77777777" w:rsidR="00BC4844" w:rsidRPr="00032F4B" w:rsidRDefault="00BC4844" w:rsidP="00483410">
      <w:pPr>
        <w:pStyle w:val="Heading3"/>
        <w:numPr>
          <w:ilvl w:val="0"/>
          <w:numId w:val="13"/>
        </w:numPr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 w:rsidRPr="00032F4B">
        <w:rPr>
          <w:b w:val="0"/>
          <w:sz w:val="24"/>
          <w:szCs w:val="24"/>
        </w:rPr>
        <w:t xml:space="preserve">Vērtēšanas kritērijus izstrādā </w:t>
      </w:r>
      <w:r w:rsidR="00C42C37" w:rsidRPr="00032F4B">
        <w:rPr>
          <w:b w:val="0"/>
          <w:sz w:val="24"/>
          <w:szCs w:val="24"/>
        </w:rPr>
        <w:t>PIKC „K</w:t>
      </w:r>
      <w:r w:rsidR="00AF248B" w:rsidRPr="00032F4B">
        <w:rPr>
          <w:b w:val="0"/>
          <w:sz w:val="24"/>
          <w:szCs w:val="24"/>
        </w:rPr>
        <w:t>andavas Valsts tehnikums</w:t>
      </w:r>
      <w:r w:rsidR="00C42C37" w:rsidRPr="00032F4B">
        <w:rPr>
          <w:b w:val="0"/>
          <w:sz w:val="24"/>
          <w:szCs w:val="24"/>
        </w:rPr>
        <w:t>” pedagogi;</w:t>
      </w:r>
    </w:p>
    <w:p w14:paraId="12A1A7DD" w14:textId="77777777" w:rsidR="00483410" w:rsidRPr="00032F4B" w:rsidRDefault="00C42C37" w:rsidP="00483410">
      <w:pPr>
        <w:pStyle w:val="Heading3"/>
        <w:numPr>
          <w:ilvl w:val="0"/>
          <w:numId w:val="13"/>
        </w:numPr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 w:rsidRPr="00032F4B">
        <w:rPr>
          <w:b w:val="0"/>
          <w:sz w:val="24"/>
          <w:szCs w:val="24"/>
        </w:rPr>
        <w:t>Darbu noformē</w:t>
      </w:r>
      <w:r w:rsidR="00BC4844" w:rsidRPr="00032F4B">
        <w:rPr>
          <w:b w:val="0"/>
          <w:sz w:val="24"/>
          <w:szCs w:val="24"/>
        </w:rPr>
        <w:t xml:space="preserve"> Tatjana Džugleja</w:t>
      </w:r>
      <w:r w:rsidR="00483410" w:rsidRPr="00032F4B">
        <w:rPr>
          <w:b w:val="0"/>
          <w:sz w:val="24"/>
          <w:szCs w:val="24"/>
        </w:rPr>
        <w:t xml:space="preserve"> </w:t>
      </w:r>
    </w:p>
    <w:p w14:paraId="5EB18168" w14:textId="77777777" w:rsidR="00AF248B" w:rsidRPr="00032F4B" w:rsidRDefault="00C42C37" w:rsidP="00483410">
      <w:pPr>
        <w:pStyle w:val="Heading3"/>
        <w:numPr>
          <w:ilvl w:val="0"/>
          <w:numId w:val="13"/>
        </w:numPr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 w:rsidRPr="00032F4B">
        <w:rPr>
          <w:b w:val="0"/>
          <w:sz w:val="24"/>
          <w:szCs w:val="24"/>
        </w:rPr>
        <w:t>Jekabpils A</w:t>
      </w:r>
      <w:r w:rsidR="00AF248B" w:rsidRPr="00032F4B">
        <w:rPr>
          <w:b w:val="0"/>
          <w:sz w:val="24"/>
          <w:szCs w:val="24"/>
        </w:rPr>
        <w:t>grobizne</w:t>
      </w:r>
      <w:r w:rsidRPr="00032F4B">
        <w:rPr>
          <w:b w:val="0"/>
          <w:sz w:val="24"/>
          <w:szCs w:val="24"/>
        </w:rPr>
        <w:t>sa koledža – piedalās apspriešanā un izsaka komentārus un priekšlikumus.</w:t>
      </w:r>
    </w:p>
    <w:p w14:paraId="5ABE4E7E" w14:textId="77777777" w:rsidR="002853F1" w:rsidRDefault="002853F1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</w:rPr>
      </w:pPr>
    </w:p>
    <w:p w14:paraId="51D61E33" w14:textId="77777777" w:rsidR="007C440F" w:rsidRDefault="007C440F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1E516FFC" w14:textId="77777777" w:rsidR="007C440F" w:rsidRDefault="007C440F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3541C7C7" w14:textId="77777777" w:rsidR="007C440F" w:rsidRDefault="007C440F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3799DDBB" w14:textId="77777777" w:rsidR="002853F1" w:rsidRDefault="002853F1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24DC30DE" w14:textId="77777777" w:rsidR="002853F1" w:rsidRPr="00144332" w:rsidRDefault="0013253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4332">
        <w:rPr>
          <w:rFonts w:ascii="Times New Roman" w:hAnsi="Times New Roman"/>
          <w:bCs/>
          <w:sz w:val="24"/>
          <w:szCs w:val="24"/>
        </w:rPr>
        <w:t xml:space="preserve">Sanāksme beidzas: plkst. </w:t>
      </w:r>
    </w:p>
    <w:p w14:paraId="2E4B77A3" w14:textId="77777777" w:rsidR="002853F1" w:rsidRPr="00465298" w:rsidRDefault="00D5529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05.03</w:t>
      </w:r>
      <w:r w:rsidR="007604B8">
        <w:rPr>
          <w:rFonts w:ascii="Times New Roman" w:hAnsi="Times New Roman"/>
          <w:bCs/>
          <w:sz w:val="24"/>
          <w:szCs w:val="24"/>
        </w:rPr>
        <w:t>.2018.</w:t>
      </w:r>
    </w:p>
    <w:p w14:paraId="20396A87" w14:textId="77777777" w:rsidR="002853F1" w:rsidRPr="00465298" w:rsidRDefault="002853F1" w:rsidP="004652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B88D5D" w14:textId="77777777" w:rsidR="002853F1" w:rsidRPr="00465298" w:rsidRDefault="00132533" w:rsidP="004652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5298">
        <w:rPr>
          <w:rFonts w:ascii="Times New Roman" w:hAnsi="Times New Roman"/>
          <w:bCs/>
          <w:sz w:val="24"/>
          <w:szCs w:val="24"/>
        </w:rPr>
        <w:t>Sanāksmi vadīja:</w:t>
      </w:r>
      <w:r w:rsidRPr="00465298">
        <w:rPr>
          <w:rFonts w:ascii="Times New Roman" w:hAnsi="Times New Roman"/>
          <w:bCs/>
          <w:sz w:val="24"/>
          <w:szCs w:val="24"/>
        </w:rPr>
        <w:tab/>
      </w:r>
      <w:r w:rsidRPr="00465298">
        <w:rPr>
          <w:rFonts w:ascii="Times New Roman" w:hAnsi="Times New Roman"/>
          <w:bCs/>
          <w:sz w:val="24"/>
          <w:szCs w:val="24"/>
        </w:rPr>
        <w:tab/>
      </w:r>
      <w:r w:rsidR="00D55292">
        <w:rPr>
          <w:rFonts w:ascii="Times New Roman" w:hAnsi="Times New Roman"/>
          <w:bCs/>
          <w:sz w:val="24"/>
          <w:szCs w:val="24"/>
        </w:rPr>
        <w:t>I.Ruperte</w:t>
      </w:r>
    </w:p>
    <w:p w14:paraId="24141E33" w14:textId="77777777" w:rsidR="002853F1" w:rsidRPr="00465298" w:rsidRDefault="00132533" w:rsidP="004652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5298">
        <w:rPr>
          <w:rFonts w:ascii="Times New Roman" w:hAnsi="Times New Roman"/>
          <w:bCs/>
          <w:sz w:val="24"/>
          <w:szCs w:val="24"/>
        </w:rPr>
        <w:tab/>
      </w:r>
    </w:p>
    <w:p w14:paraId="32D75635" w14:textId="77777777" w:rsidR="002853F1" w:rsidRPr="00465298" w:rsidRDefault="00132533" w:rsidP="004652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5298">
        <w:rPr>
          <w:rFonts w:ascii="Times New Roman" w:hAnsi="Times New Roman"/>
          <w:bCs/>
          <w:sz w:val="24"/>
          <w:szCs w:val="24"/>
        </w:rPr>
        <w:t xml:space="preserve">Protokolēja: </w:t>
      </w:r>
      <w:r w:rsidRPr="00465298">
        <w:rPr>
          <w:rFonts w:ascii="Times New Roman" w:hAnsi="Times New Roman"/>
          <w:bCs/>
          <w:sz w:val="24"/>
          <w:szCs w:val="24"/>
        </w:rPr>
        <w:tab/>
      </w:r>
      <w:r w:rsidRPr="00465298">
        <w:rPr>
          <w:rFonts w:ascii="Times New Roman" w:hAnsi="Times New Roman"/>
          <w:bCs/>
          <w:sz w:val="24"/>
          <w:szCs w:val="24"/>
        </w:rPr>
        <w:tab/>
      </w:r>
      <w:r w:rsidRPr="00465298">
        <w:rPr>
          <w:rFonts w:ascii="Times New Roman" w:hAnsi="Times New Roman"/>
          <w:bCs/>
          <w:sz w:val="24"/>
          <w:szCs w:val="24"/>
        </w:rPr>
        <w:tab/>
      </w:r>
      <w:r w:rsidR="00D55292">
        <w:rPr>
          <w:rFonts w:ascii="Times New Roman" w:hAnsi="Times New Roman"/>
          <w:bCs/>
          <w:sz w:val="24"/>
          <w:szCs w:val="24"/>
        </w:rPr>
        <w:t>I.Sila</w:t>
      </w:r>
      <w:r w:rsidRPr="00465298">
        <w:rPr>
          <w:rFonts w:ascii="Times New Roman" w:hAnsi="Times New Roman"/>
          <w:bCs/>
          <w:sz w:val="24"/>
          <w:szCs w:val="24"/>
        </w:rPr>
        <w:tab/>
        <w:t xml:space="preserve"> </w:t>
      </w:r>
    </w:p>
    <w:sectPr w:rsidR="002853F1" w:rsidRPr="00465298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D82B6" w14:textId="77777777" w:rsidR="00981F22" w:rsidRDefault="00981F22">
      <w:pPr>
        <w:spacing w:after="0" w:line="240" w:lineRule="auto"/>
      </w:pPr>
      <w:r>
        <w:separator/>
      </w:r>
    </w:p>
  </w:endnote>
  <w:endnote w:type="continuationSeparator" w:id="0">
    <w:p w14:paraId="5004A085" w14:textId="77777777" w:rsidR="00981F22" w:rsidRDefault="0098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2F444" w14:textId="77777777" w:rsidR="00981F22" w:rsidRDefault="00981F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EE6B1D" w14:textId="77777777" w:rsidR="00981F22" w:rsidRDefault="00981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C2375"/>
    <w:multiLevelType w:val="multilevel"/>
    <w:tmpl w:val="E1B8E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036"/>
    <w:multiLevelType w:val="hybridMultilevel"/>
    <w:tmpl w:val="88D4B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005D86"/>
    <w:multiLevelType w:val="hybridMultilevel"/>
    <w:tmpl w:val="57DAD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71587"/>
    <w:multiLevelType w:val="hybridMultilevel"/>
    <w:tmpl w:val="8BF22B80"/>
    <w:lvl w:ilvl="0" w:tplc="CC463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84BCB"/>
    <w:multiLevelType w:val="hybridMultilevel"/>
    <w:tmpl w:val="6F601EFC"/>
    <w:lvl w:ilvl="0" w:tplc="766A29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4B3298"/>
    <w:multiLevelType w:val="multilevel"/>
    <w:tmpl w:val="957AF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D0242AC"/>
    <w:multiLevelType w:val="hybridMultilevel"/>
    <w:tmpl w:val="9CDE6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E752B"/>
    <w:multiLevelType w:val="multilevel"/>
    <w:tmpl w:val="7FF2F31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367" w:hanging="72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447" w:hanging="1080"/>
      </w:pPr>
    </w:lvl>
    <w:lvl w:ilvl="6">
      <w:start w:val="1"/>
      <w:numFmt w:val="decimal"/>
      <w:lvlText w:val="%1.%2.%3.%4.%5.%6.%7."/>
      <w:lvlJc w:val="left"/>
      <w:pPr>
        <w:ind w:left="4167" w:hanging="1440"/>
      </w:pPr>
    </w:lvl>
    <w:lvl w:ilvl="7">
      <w:start w:val="1"/>
      <w:numFmt w:val="decimal"/>
      <w:lvlText w:val="%1.%2.%3.%4.%5.%6.%7.%8."/>
      <w:lvlJc w:val="left"/>
      <w:pPr>
        <w:ind w:left="4527" w:hanging="1440"/>
      </w:pPr>
    </w:lvl>
    <w:lvl w:ilvl="8">
      <w:start w:val="1"/>
      <w:numFmt w:val="decimal"/>
      <w:lvlText w:val="%1.%2.%3.%4.%5.%6.%7.%8.%9."/>
      <w:lvlJc w:val="left"/>
      <w:pPr>
        <w:ind w:left="5247" w:hanging="1800"/>
      </w:pPr>
    </w:lvl>
  </w:abstractNum>
  <w:abstractNum w:abstractNumId="8" w15:restartNumberingAfterBreak="0">
    <w:nsid w:val="4D8C4359"/>
    <w:multiLevelType w:val="multilevel"/>
    <w:tmpl w:val="CE2AD1C0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65B34FF7"/>
    <w:multiLevelType w:val="hybridMultilevel"/>
    <w:tmpl w:val="C0D2E4D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794B4C"/>
    <w:multiLevelType w:val="multilevel"/>
    <w:tmpl w:val="812C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1" w15:restartNumberingAfterBreak="0">
    <w:nsid w:val="6A8E27B8"/>
    <w:multiLevelType w:val="hybridMultilevel"/>
    <w:tmpl w:val="00AC3B8C"/>
    <w:lvl w:ilvl="0" w:tplc="E8966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D8E5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AA4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42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6DE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C0F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CB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C0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C0E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576264"/>
    <w:multiLevelType w:val="hybridMultilevel"/>
    <w:tmpl w:val="B252AA44"/>
    <w:lvl w:ilvl="0" w:tplc="EE3CF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51A86"/>
    <w:multiLevelType w:val="hybridMultilevel"/>
    <w:tmpl w:val="9D5E8FF0"/>
    <w:lvl w:ilvl="0" w:tplc="9650F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02C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FCF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00B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E6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7843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CC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861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1AC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5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3"/>
  </w:num>
  <w:num w:numId="12">
    <w:abstractNumId w:val="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3F1"/>
    <w:rsid w:val="00012ED1"/>
    <w:rsid w:val="0003209E"/>
    <w:rsid w:val="00032F4B"/>
    <w:rsid w:val="00040FC4"/>
    <w:rsid w:val="00050595"/>
    <w:rsid w:val="00053CF6"/>
    <w:rsid w:val="00066A84"/>
    <w:rsid w:val="000931FB"/>
    <w:rsid w:val="00096361"/>
    <w:rsid w:val="000A1DBE"/>
    <w:rsid w:val="000C67BC"/>
    <w:rsid w:val="000E09EE"/>
    <w:rsid w:val="000E45C5"/>
    <w:rsid w:val="000E7D9B"/>
    <w:rsid w:val="0012562E"/>
    <w:rsid w:val="00132533"/>
    <w:rsid w:val="00134E47"/>
    <w:rsid w:val="001427B2"/>
    <w:rsid w:val="00144332"/>
    <w:rsid w:val="00165C33"/>
    <w:rsid w:val="001861CC"/>
    <w:rsid w:val="00193099"/>
    <w:rsid w:val="00196EB0"/>
    <w:rsid w:val="00197E69"/>
    <w:rsid w:val="001B6034"/>
    <w:rsid w:val="001D2C37"/>
    <w:rsid w:val="001D6EC5"/>
    <w:rsid w:val="002151CF"/>
    <w:rsid w:val="002604EB"/>
    <w:rsid w:val="0027426A"/>
    <w:rsid w:val="002853F1"/>
    <w:rsid w:val="00290ED2"/>
    <w:rsid w:val="002B301A"/>
    <w:rsid w:val="002C2DB5"/>
    <w:rsid w:val="002D47D1"/>
    <w:rsid w:val="002E58FE"/>
    <w:rsid w:val="00307D0B"/>
    <w:rsid w:val="00332136"/>
    <w:rsid w:val="00340648"/>
    <w:rsid w:val="003B3A86"/>
    <w:rsid w:val="003B7B49"/>
    <w:rsid w:val="003F5631"/>
    <w:rsid w:val="00411F1C"/>
    <w:rsid w:val="004416D8"/>
    <w:rsid w:val="00465298"/>
    <w:rsid w:val="00470C53"/>
    <w:rsid w:val="00475E68"/>
    <w:rsid w:val="00483410"/>
    <w:rsid w:val="004E4554"/>
    <w:rsid w:val="004F74CB"/>
    <w:rsid w:val="005104EC"/>
    <w:rsid w:val="00546CFA"/>
    <w:rsid w:val="00586FAB"/>
    <w:rsid w:val="005D46DA"/>
    <w:rsid w:val="005F001F"/>
    <w:rsid w:val="006272F9"/>
    <w:rsid w:val="006343D4"/>
    <w:rsid w:val="006525EB"/>
    <w:rsid w:val="00655C49"/>
    <w:rsid w:val="00661C7D"/>
    <w:rsid w:val="00673E5B"/>
    <w:rsid w:val="00687DE4"/>
    <w:rsid w:val="00697DA7"/>
    <w:rsid w:val="006A4203"/>
    <w:rsid w:val="006A7765"/>
    <w:rsid w:val="006D080B"/>
    <w:rsid w:val="006E77E2"/>
    <w:rsid w:val="00701278"/>
    <w:rsid w:val="007335D4"/>
    <w:rsid w:val="0075551F"/>
    <w:rsid w:val="007604B8"/>
    <w:rsid w:val="00761E28"/>
    <w:rsid w:val="0078342B"/>
    <w:rsid w:val="00790CA2"/>
    <w:rsid w:val="007965AC"/>
    <w:rsid w:val="007B4998"/>
    <w:rsid w:val="007B728E"/>
    <w:rsid w:val="007C440F"/>
    <w:rsid w:val="007C79B8"/>
    <w:rsid w:val="007E4B2C"/>
    <w:rsid w:val="0081309B"/>
    <w:rsid w:val="008229EE"/>
    <w:rsid w:val="00832760"/>
    <w:rsid w:val="008336FD"/>
    <w:rsid w:val="00834F2D"/>
    <w:rsid w:val="00841078"/>
    <w:rsid w:val="008411CD"/>
    <w:rsid w:val="00847640"/>
    <w:rsid w:val="00851265"/>
    <w:rsid w:val="00855A48"/>
    <w:rsid w:val="00857F58"/>
    <w:rsid w:val="00877900"/>
    <w:rsid w:val="00881900"/>
    <w:rsid w:val="008B0795"/>
    <w:rsid w:val="008D78D3"/>
    <w:rsid w:val="008E7797"/>
    <w:rsid w:val="00903D2B"/>
    <w:rsid w:val="00940CA5"/>
    <w:rsid w:val="00971689"/>
    <w:rsid w:val="00981F22"/>
    <w:rsid w:val="009953A2"/>
    <w:rsid w:val="009A02EC"/>
    <w:rsid w:val="009A0EAC"/>
    <w:rsid w:val="009A32EF"/>
    <w:rsid w:val="009F2F2C"/>
    <w:rsid w:val="00A14E26"/>
    <w:rsid w:val="00A34308"/>
    <w:rsid w:val="00AB0D60"/>
    <w:rsid w:val="00AB3045"/>
    <w:rsid w:val="00AE2660"/>
    <w:rsid w:val="00AF248B"/>
    <w:rsid w:val="00B0667A"/>
    <w:rsid w:val="00B11228"/>
    <w:rsid w:val="00B3108C"/>
    <w:rsid w:val="00B4581D"/>
    <w:rsid w:val="00B612A4"/>
    <w:rsid w:val="00B8567D"/>
    <w:rsid w:val="00B87264"/>
    <w:rsid w:val="00BB10E6"/>
    <w:rsid w:val="00BC4844"/>
    <w:rsid w:val="00BD5C4F"/>
    <w:rsid w:val="00BD610C"/>
    <w:rsid w:val="00BE1694"/>
    <w:rsid w:val="00C13280"/>
    <w:rsid w:val="00C23AC3"/>
    <w:rsid w:val="00C25F49"/>
    <w:rsid w:val="00C2769E"/>
    <w:rsid w:val="00C42C37"/>
    <w:rsid w:val="00C433F5"/>
    <w:rsid w:val="00C43F70"/>
    <w:rsid w:val="00C50012"/>
    <w:rsid w:val="00C52C8C"/>
    <w:rsid w:val="00C97806"/>
    <w:rsid w:val="00CA77EF"/>
    <w:rsid w:val="00CB1FC3"/>
    <w:rsid w:val="00CB3FC9"/>
    <w:rsid w:val="00CC5286"/>
    <w:rsid w:val="00CE4FA6"/>
    <w:rsid w:val="00CF7690"/>
    <w:rsid w:val="00D0593D"/>
    <w:rsid w:val="00D12FAD"/>
    <w:rsid w:val="00D20656"/>
    <w:rsid w:val="00D342FB"/>
    <w:rsid w:val="00D55292"/>
    <w:rsid w:val="00D70486"/>
    <w:rsid w:val="00D96417"/>
    <w:rsid w:val="00DA317A"/>
    <w:rsid w:val="00DB3F85"/>
    <w:rsid w:val="00E43C27"/>
    <w:rsid w:val="00E47B7F"/>
    <w:rsid w:val="00E53588"/>
    <w:rsid w:val="00E778F7"/>
    <w:rsid w:val="00E86564"/>
    <w:rsid w:val="00EA3977"/>
    <w:rsid w:val="00EC4D0E"/>
    <w:rsid w:val="00ED3BB1"/>
    <w:rsid w:val="00ED47E1"/>
    <w:rsid w:val="00EE4847"/>
    <w:rsid w:val="00F50F68"/>
    <w:rsid w:val="00F80B0A"/>
    <w:rsid w:val="00F8156C"/>
    <w:rsid w:val="00F86F9C"/>
    <w:rsid w:val="00F96BA6"/>
    <w:rsid w:val="00FB3CA7"/>
    <w:rsid w:val="00FC4AAD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68F4"/>
  <w15:docId w15:val="{83B67A0D-EBA2-4DBC-A3A4-2F2C4489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  <w:lang w:eastAsia="lv-LV"/>
    </w:rPr>
  </w:style>
  <w:style w:type="paragraph" w:styleId="Heading3">
    <w:name w:val="heading 3"/>
    <w:basedOn w:val="Normal"/>
    <w:pPr>
      <w:spacing w:before="100" w:after="10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272F9"/>
  </w:style>
  <w:style w:type="paragraph" w:styleId="BalloonText">
    <w:name w:val="Balloon Text"/>
    <w:basedOn w:val="Normal"/>
    <w:link w:val="BalloonTextChar"/>
    <w:uiPriority w:val="99"/>
    <w:semiHidden/>
    <w:unhideWhenUsed/>
    <w:rsid w:val="002B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1A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9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0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1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B284-E7DA-4F59-B46E-6F80127F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Lietotājs</dc:creator>
  <cp:lastModifiedBy>Ieva Ruperte</cp:lastModifiedBy>
  <cp:revision>5</cp:revision>
  <cp:lastPrinted>2017-06-05T14:07:00Z</cp:lastPrinted>
  <dcterms:created xsi:type="dcterms:W3CDTF">2020-06-25T07:12:00Z</dcterms:created>
  <dcterms:modified xsi:type="dcterms:W3CDTF">2020-06-25T07:29:00Z</dcterms:modified>
</cp:coreProperties>
</file>